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A2E89" w14:textId="06F9B314" w:rsidR="00A94050" w:rsidRPr="004C190C" w:rsidRDefault="00130751" w:rsidP="004C190C">
      <w:pPr>
        <w:jc w:val="center"/>
        <w:rPr>
          <w:b/>
          <w:bCs/>
          <w:sz w:val="32"/>
          <w:szCs w:val="32"/>
        </w:rPr>
      </w:pPr>
      <w:r w:rsidRPr="004C190C">
        <w:rPr>
          <w:b/>
          <w:bCs/>
          <w:sz w:val="32"/>
          <w:szCs w:val="32"/>
        </w:rPr>
        <w:t>Enabling Attention and Listening Skills – Audit Tool</w:t>
      </w:r>
    </w:p>
    <w:p w14:paraId="3457BBFE" w14:textId="24D3BBD1" w:rsidR="00130751" w:rsidRDefault="00130751" w:rsidP="00A94050"/>
    <w:p w14:paraId="69D911C5" w14:textId="26B04B57" w:rsidR="00130751" w:rsidRPr="004C190C" w:rsidRDefault="00130751" w:rsidP="00A94050">
      <w:pPr>
        <w:rPr>
          <w:b/>
          <w:bCs/>
          <w:i/>
          <w:iCs/>
          <w:u w:val="single"/>
        </w:rPr>
      </w:pPr>
      <w:r w:rsidRPr="004C190C">
        <w:rPr>
          <w:b/>
          <w:bCs/>
          <w:i/>
          <w:iCs/>
          <w:u w:val="single"/>
        </w:rPr>
        <w:t xml:space="preserve">How to use: </w:t>
      </w:r>
    </w:p>
    <w:p w14:paraId="5446FFAD" w14:textId="0F584F34" w:rsidR="00130751" w:rsidRPr="004C190C" w:rsidRDefault="00130751" w:rsidP="00130751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4C190C">
        <w:rPr>
          <w:i/>
          <w:iCs/>
        </w:rPr>
        <w:t xml:space="preserve">First </w:t>
      </w:r>
      <w:r w:rsidRPr="004C190C">
        <w:rPr>
          <w:b/>
          <w:bCs/>
          <w:i/>
          <w:iCs/>
        </w:rPr>
        <w:t xml:space="preserve">read the ‘Strategies to Support Attention and Listening’ </w:t>
      </w:r>
      <w:r w:rsidR="004C190C">
        <w:rPr>
          <w:b/>
          <w:bCs/>
          <w:i/>
          <w:iCs/>
        </w:rPr>
        <w:t>I</w:t>
      </w:r>
      <w:r w:rsidRPr="004C190C">
        <w:rPr>
          <w:b/>
          <w:bCs/>
          <w:i/>
          <w:iCs/>
        </w:rPr>
        <w:t xml:space="preserve">nformation </w:t>
      </w:r>
      <w:r w:rsidR="004C190C">
        <w:rPr>
          <w:b/>
          <w:bCs/>
          <w:i/>
          <w:iCs/>
        </w:rPr>
        <w:t>S</w:t>
      </w:r>
      <w:r w:rsidRPr="004C190C">
        <w:rPr>
          <w:b/>
          <w:bCs/>
          <w:i/>
          <w:iCs/>
        </w:rPr>
        <w:t>heet.</w:t>
      </w:r>
    </w:p>
    <w:p w14:paraId="5C63939A" w14:textId="2D1EBB9B" w:rsidR="00130751" w:rsidRPr="004C190C" w:rsidRDefault="00130751" w:rsidP="00130751">
      <w:pPr>
        <w:pStyle w:val="ListParagraph"/>
        <w:numPr>
          <w:ilvl w:val="0"/>
          <w:numId w:val="1"/>
        </w:numPr>
        <w:rPr>
          <w:i/>
          <w:iCs/>
        </w:rPr>
      </w:pPr>
      <w:r w:rsidRPr="004C190C">
        <w:rPr>
          <w:b/>
          <w:bCs/>
          <w:i/>
          <w:iCs/>
        </w:rPr>
        <w:t>Use this audit tool to self-reflect</w:t>
      </w:r>
      <w:r w:rsidRPr="004C190C">
        <w:rPr>
          <w:i/>
          <w:iCs/>
        </w:rPr>
        <w:t>: After a lesson input complete this audit and reflect on how many of these strategies you used.</w:t>
      </w:r>
    </w:p>
    <w:p w14:paraId="0D189027" w14:textId="2BFED560" w:rsidR="00130751" w:rsidRPr="004C190C" w:rsidRDefault="00130751" w:rsidP="00130751">
      <w:pPr>
        <w:pStyle w:val="ListParagraph"/>
        <w:numPr>
          <w:ilvl w:val="0"/>
          <w:numId w:val="1"/>
        </w:numPr>
        <w:rPr>
          <w:i/>
          <w:iCs/>
        </w:rPr>
      </w:pPr>
      <w:r w:rsidRPr="004C190C">
        <w:rPr>
          <w:b/>
          <w:bCs/>
          <w:i/>
          <w:iCs/>
        </w:rPr>
        <w:t>Peer observation:</w:t>
      </w:r>
      <w:r w:rsidRPr="004C190C">
        <w:rPr>
          <w:i/>
          <w:iCs/>
        </w:rPr>
        <w:t xml:space="preserve"> Ask a colleague to observe a lesson input, auditing which strategies were used and which strategies </w:t>
      </w:r>
      <w:r w:rsidR="004C190C">
        <w:rPr>
          <w:i/>
          <w:iCs/>
        </w:rPr>
        <w:t>could be developed.</w:t>
      </w:r>
    </w:p>
    <w:p w14:paraId="613ED304" w14:textId="05BCAA9A" w:rsidR="007A71F3" w:rsidRPr="004C190C" w:rsidRDefault="00130751" w:rsidP="007A71F3">
      <w:pPr>
        <w:pStyle w:val="ListParagraph"/>
        <w:numPr>
          <w:ilvl w:val="0"/>
          <w:numId w:val="1"/>
        </w:numPr>
        <w:rPr>
          <w:i/>
          <w:iCs/>
        </w:rPr>
      </w:pPr>
      <w:r w:rsidRPr="004C190C">
        <w:rPr>
          <w:b/>
          <w:bCs/>
          <w:i/>
          <w:iCs/>
        </w:rPr>
        <w:t>I CAN Progression Tools screening:</w:t>
      </w:r>
      <w:r w:rsidRPr="004C190C">
        <w:rPr>
          <w:i/>
          <w:iCs/>
        </w:rPr>
        <w:t xml:space="preserve"> These strategies should support children who were identified as needing targeted support in the are</w:t>
      </w:r>
      <w:r w:rsidR="004C190C">
        <w:rPr>
          <w:i/>
          <w:iCs/>
        </w:rPr>
        <w:t>a</w:t>
      </w:r>
      <w:r w:rsidRPr="004C190C">
        <w:rPr>
          <w:i/>
          <w:iCs/>
        </w:rPr>
        <w:t xml:space="preserve"> of ‘Understanding Spoken Language,’ particularly during the </w:t>
      </w:r>
      <w:proofErr w:type="gramStart"/>
      <w:r w:rsidRPr="004C190C">
        <w:rPr>
          <w:i/>
          <w:iCs/>
        </w:rPr>
        <w:t>in class</w:t>
      </w:r>
      <w:proofErr w:type="gramEnd"/>
      <w:r w:rsidRPr="004C190C">
        <w:rPr>
          <w:i/>
          <w:iCs/>
        </w:rPr>
        <w:t xml:space="preserve"> observation. These children will be re-observed after one term to monitor progress. </w:t>
      </w:r>
      <w:r w:rsidRPr="004C190C">
        <w:rPr>
          <w:b/>
          <w:bCs/>
          <w:i/>
          <w:iCs/>
        </w:rPr>
        <w:t xml:space="preserve">If you are using </w:t>
      </w:r>
      <w:r w:rsidR="004C190C">
        <w:rPr>
          <w:b/>
          <w:bCs/>
          <w:i/>
          <w:iCs/>
        </w:rPr>
        <w:t>Attention and Listening strategies</w:t>
      </w:r>
      <w:r w:rsidRPr="004C190C">
        <w:rPr>
          <w:b/>
          <w:bCs/>
          <w:i/>
          <w:iCs/>
        </w:rPr>
        <w:t xml:space="preserve"> to support these pupils, aim to self or peer audit at least 3 x per term.</w:t>
      </w:r>
      <w:r w:rsidRPr="004C190C">
        <w:rPr>
          <w:i/>
          <w:iCs/>
        </w:rPr>
        <w:t xml:space="preserve"> </w:t>
      </w:r>
    </w:p>
    <w:p w14:paraId="40990EC5" w14:textId="1B523BBF" w:rsidR="00130751" w:rsidRDefault="00130751" w:rsidP="00130751"/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227"/>
        <w:gridCol w:w="990"/>
        <w:gridCol w:w="1123"/>
        <w:gridCol w:w="5549"/>
      </w:tblGrid>
      <w:tr w:rsidR="00130751" w14:paraId="7C0A3D48" w14:textId="4B0C84E4" w:rsidTr="004C190C">
        <w:tc>
          <w:tcPr>
            <w:tcW w:w="2227" w:type="dxa"/>
            <w:shd w:val="clear" w:color="auto" w:fill="BFBFBF" w:themeFill="background1" w:themeFillShade="BF"/>
          </w:tcPr>
          <w:p w14:paraId="0D6359F1" w14:textId="4C273D54" w:rsidR="00130751" w:rsidRPr="004C190C" w:rsidRDefault="00130751" w:rsidP="00130751">
            <w:pPr>
              <w:rPr>
                <w:b/>
                <w:bCs/>
              </w:rPr>
            </w:pPr>
            <w:r w:rsidRPr="004C190C">
              <w:rPr>
                <w:b/>
                <w:bCs/>
              </w:rPr>
              <w:t>Attention and Listening Strategy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377E1C23" w14:textId="223A48B9" w:rsidR="00130751" w:rsidRPr="004C190C" w:rsidRDefault="00130751" w:rsidP="00130751">
            <w:pPr>
              <w:rPr>
                <w:b/>
                <w:bCs/>
              </w:rPr>
            </w:pPr>
            <w:r w:rsidRPr="004C190C">
              <w:rPr>
                <w:b/>
                <w:bCs/>
              </w:rPr>
              <w:t>In Use</w:t>
            </w:r>
          </w:p>
        </w:tc>
        <w:tc>
          <w:tcPr>
            <w:tcW w:w="1123" w:type="dxa"/>
            <w:shd w:val="clear" w:color="auto" w:fill="BFBFBF" w:themeFill="background1" w:themeFillShade="BF"/>
          </w:tcPr>
          <w:p w14:paraId="4C957710" w14:textId="540457F9" w:rsidR="00130751" w:rsidRPr="004C190C" w:rsidRDefault="00130751" w:rsidP="00130751">
            <w:pPr>
              <w:rPr>
                <w:b/>
                <w:bCs/>
              </w:rPr>
            </w:pPr>
            <w:r w:rsidRPr="004C190C">
              <w:rPr>
                <w:b/>
                <w:bCs/>
              </w:rPr>
              <w:t>To develop</w:t>
            </w:r>
          </w:p>
        </w:tc>
        <w:tc>
          <w:tcPr>
            <w:tcW w:w="5549" w:type="dxa"/>
            <w:shd w:val="clear" w:color="auto" w:fill="BFBFBF" w:themeFill="background1" w:themeFillShade="BF"/>
          </w:tcPr>
          <w:p w14:paraId="3A530302" w14:textId="4C84D681" w:rsidR="00130751" w:rsidRPr="004C190C" w:rsidRDefault="00130751" w:rsidP="00130751">
            <w:pPr>
              <w:rPr>
                <w:b/>
                <w:bCs/>
              </w:rPr>
            </w:pPr>
            <w:r w:rsidRPr="004C190C">
              <w:rPr>
                <w:b/>
                <w:bCs/>
              </w:rPr>
              <w:t>Comments</w:t>
            </w:r>
          </w:p>
        </w:tc>
      </w:tr>
      <w:tr w:rsidR="00130751" w14:paraId="3111FE94" w14:textId="1DA737F3" w:rsidTr="004C190C">
        <w:tc>
          <w:tcPr>
            <w:tcW w:w="2227" w:type="dxa"/>
            <w:shd w:val="clear" w:color="auto" w:fill="BFBFBF" w:themeFill="background1" w:themeFillShade="BF"/>
          </w:tcPr>
          <w:p w14:paraId="2FDDF9CE" w14:textId="711099C3" w:rsidR="00130751" w:rsidRDefault="00130751" w:rsidP="00130751">
            <w:r>
              <w:t>Children’s physiological needs have been met.</w:t>
            </w:r>
          </w:p>
        </w:tc>
        <w:tc>
          <w:tcPr>
            <w:tcW w:w="990" w:type="dxa"/>
          </w:tcPr>
          <w:p w14:paraId="71C5170B" w14:textId="77777777" w:rsidR="00130751" w:rsidRDefault="00130751" w:rsidP="00130751"/>
        </w:tc>
        <w:tc>
          <w:tcPr>
            <w:tcW w:w="1123" w:type="dxa"/>
          </w:tcPr>
          <w:p w14:paraId="7647C9F3" w14:textId="77777777" w:rsidR="00130751" w:rsidRDefault="00130751" w:rsidP="00130751"/>
        </w:tc>
        <w:tc>
          <w:tcPr>
            <w:tcW w:w="5549" w:type="dxa"/>
          </w:tcPr>
          <w:p w14:paraId="331A1F0C" w14:textId="77777777" w:rsidR="00130751" w:rsidRDefault="00130751" w:rsidP="00130751"/>
        </w:tc>
      </w:tr>
      <w:tr w:rsidR="00130751" w14:paraId="4A112280" w14:textId="0C25EAED" w:rsidTr="004C190C">
        <w:tc>
          <w:tcPr>
            <w:tcW w:w="2227" w:type="dxa"/>
            <w:shd w:val="clear" w:color="auto" w:fill="BFBFBF" w:themeFill="background1" w:themeFillShade="BF"/>
          </w:tcPr>
          <w:p w14:paraId="1A6037BA" w14:textId="3A1F4256" w:rsidR="00130751" w:rsidRDefault="00130751" w:rsidP="00130751">
            <w:r>
              <w:t xml:space="preserve">The environment is conducive to listening and maintaining </w:t>
            </w:r>
            <w:proofErr w:type="gramStart"/>
            <w:r>
              <w:t>attention.</w:t>
            </w:r>
            <w:r w:rsidR="004C190C">
              <w:t>*</w:t>
            </w:r>
            <w:proofErr w:type="gramEnd"/>
          </w:p>
        </w:tc>
        <w:tc>
          <w:tcPr>
            <w:tcW w:w="990" w:type="dxa"/>
          </w:tcPr>
          <w:p w14:paraId="7846AABE" w14:textId="77777777" w:rsidR="00130751" w:rsidRDefault="00130751" w:rsidP="00130751"/>
        </w:tc>
        <w:tc>
          <w:tcPr>
            <w:tcW w:w="1123" w:type="dxa"/>
          </w:tcPr>
          <w:p w14:paraId="24A50979" w14:textId="77777777" w:rsidR="00130751" w:rsidRDefault="00130751" w:rsidP="00130751"/>
        </w:tc>
        <w:tc>
          <w:tcPr>
            <w:tcW w:w="5549" w:type="dxa"/>
          </w:tcPr>
          <w:p w14:paraId="25B2383A" w14:textId="77777777" w:rsidR="00130751" w:rsidRDefault="00130751" w:rsidP="00130751"/>
        </w:tc>
      </w:tr>
      <w:tr w:rsidR="00130751" w14:paraId="757DBAB5" w14:textId="4123D067" w:rsidTr="004C190C">
        <w:tc>
          <w:tcPr>
            <w:tcW w:w="2227" w:type="dxa"/>
            <w:shd w:val="clear" w:color="auto" w:fill="BFBFBF" w:themeFill="background1" w:themeFillShade="BF"/>
          </w:tcPr>
          <w:p w14:paraId="0E655C7F" w14:textId="360B6921" w:rsidR="00130751" w:rsidRDefault="00130751" w:rsidP="00130751">
            <w:r>
              <w:t>The lesson content matches all children’s level of understanding / ability.</w:t>
            </w:r>
          </w:p>
        </w:tc>
        <w:tc>
          <w:tcPr>
            <w:tcW w:w="990" w:type="dxa"/>
          </w:tcPr>
          <w:p w14:paraId="619A3F5D" w14:textId="77777777" w:rsidR="00130751" w:rsidRDefault="00130751" w:rsidP="00130751"/>
        </w:tc>
        <w:tc>
          <w:tcPr>
            <w:tcW w:w="1123" w:type="dxa"/>
          </w:tcPr>
          <w:p w14:paraId="5F35EE54" w14:textId="77777777" w:rsidR="00130751" w:rsidRDefault="00130751" w:rsidP="00130751"/>
        </w:tc>
        <w:tc>
          <w:tcPr>
            <w:tcW w:w="5549" w:type="dxa"/>
          </w:tcPr>
          <w:p w14:paraId="15FED643" w14:textId="77777777" w:rsidR="00130751" w:rsidRDefault="00130751" w:rsidP="00130751"/>
        </w:tc>
      </w:tr>
      <w:tr w:rsidR="00130751" w14:paraId="046F40AA" w14:textId="6C6E8FD2" w:rsidTr="004C190C">
        <w:tc>
          <w:tcPr>
            <w:tcW w:w="2227" w:type="dxa"/>
            <w:shd w:val="clear" w:color="auto" w:fill="BFBFBF" w:themeFill="background1" w:themeFillShade="BF"/>
          </w:tcPr>
          <w:p w14:paraId="7370AF7B" w14:textId="4B888372" w:rsidR="00130751" w:rsidRDefault="00130751" w:rsidP="00130751">
            <w:r>
              <w:t>The language used matches children’s level of understanding.</w:t>
            </w:r>
          </w:p>
        </w:tc>
        <w:tc>
          <w:tcPr>
            <w:tcW w:w="990" w:type="dxa"/>
          </w:tcPr>
          <w:p w14:paraId="4508FA18" w14:textId="77777777" w:rsidR="00130751" w:rsidRDefault="00130751" w:rsidP="00130751"/>
        </w:tc>
        <w:tc>
          <w:tcPr>
            <w:tcW w:w="1123" w:type="dxa"/>
          </w:tcPr>
          <w:p w14:paraId="5FEBCCDF" w14:textId="77777777" w:rsidR="00130751" w:rsidRDefault="00130751" w:rsidP="00130751"/>
        </w:tc>
        <w:tc>
          <w:tcPr>
            <w:tcW w:w="5549" w:type="dxa"/>
          </w:tcPr>
          <w:p w14:paraId="68905011" w14:textId="77777777" w:rsidR="00130751" w:rsidRDefault="00130751" w:rsidP="00130751"/>
        </w:tc>
      </w:tr>
      <w:tr w:rsidR="00130751" w14:paraId="6445FFD9" w14:textId="035C81DC" w:rsidTr="004C190C">
        <w:tc>
          <w:tcPr>
            <w:tcW w:w="2227" w:type="dxa"/>
            <w:shd w:val="clear" w:color="auto" w:fill="BFBFBF" w:themeFill="background1" w:themeFillShade="BF"/>
          </w:tcPr>
          <w:p w14:paraId="3B107A59" w14:textId="71F9DD10" w:rsidR="00130751" w:rsidRDefault="00130751" w:rsidP="00130751">
            <w:r>
              <w:t xml:space="preserve">Children </w:t>
            </w:r>
            <w:r w:rsidR="007A71F3">
              <w:t>are</w:t>
            </w:r>
            <w:r>
              <w:t xml:space="preserve"> enabled and encouraged to meet self-care needs before the lesson input.</w:t>
            </w:r>
          </w:p>
        </w:tc>
        <w:tc>
          <w:tcPr>
            <w:tcW w:w="990" w:type="dxa"/>
          </w:tcPr>
          <w:p w14:paraId="023271D7" w14:textId="77777777" w:rsidR="00130751" w:rsidRDefault="00130751" w:rsidP="00130751"/>
        </w:tc>
        <w:tc>
          <w:tcPr>
            <w:tcW w:w="1123" w:type="dxa"/>
          </w:tcPr>
          <w:p w14:paraId="779EC5A4" w14:textId="77777777" w:rsidR="00130751" w:rsidRDefault="00130751" w:rsidP="00130751"/>
        </w:tc>
        <w:tc>
          <w:tcPr>
            <w:tcW w:w="5549" w:type="dxa"/>
          </w:tcPr>
          <w:p w14:paraId="0EEE74B2" w14:textId="77777777" w:rsidR="00130751" w:rsidRDefault="00130751" w:rsidP="00130751"/>
        </w:tc>
      </w:tr>
      <w:tr w:rsidR="00130751" w14:paraId="17EB5A8E" w14:textId="6CFF84BD" w:rsidTr="004C190C">
        <w:tc>
          <w:tcPr>
            <w:tcW w:w="2227" w:type="dxa"/>
            <w:shd w:val="clear" w:color="auto" w:fill="BFBFBF" w:themeFill="background1" w:themeFillShade="BF"/>
          </w:tcPr>
          <w:p w14:paraId="0EF07759" w14:textId="77777777" w:rsidR="007A71F3" w:rsidRDefault="00130751" w:rsidP="00130751">
            <w:r>
              <w:t xml:space="preserve">A sand timer / visual timer </w:t>
            </w:r>
            <w:r w:rsidR="007A71F3">
              <w:t xml:space="preserve">is </w:t>
            </w:r>
            <w:r>
              <w:t xml:space="preserve">used to show how long children </w:t>
            </w:r>
            <w:r w:rsidR="007A71F3">
              <w:t>will</w:t>
            </w:r>
            <w:r>
              <w:t xml:space="preserve"> need to listen for.</w:t>
            </w:r>
          </w:p>
          <w:p w14:paraId="6C751142" w14:textId="19A2A068" w:rsidR="004C190C" w:rsidRDefault="004C190C" w:rsidP="00130751"/>
        </w:tc>
        <w:tc>
          <w:tcPr>
            <w:tcW w:w="990" w:type="dxa"/>
          </w:tcPr>
          <w:p w14:paraId="6223F142" w14:textId="77777777" w:rsidR="00130751" w:rsidRDefault="00130751" w:rsidP="00130751"/>
        </w:tc>
        <w:tc>
          <w:tcPr>
            <w:tcW w:w="1123" w:type="dxa"/>
          </w:tcPr>
          <w:p w14:paraId="2A6F1663" w14:textId="77777777" w:rsidR="00130751" w:rsidRDefault="00130751" w:rsidP="00130751"/>
        </w:tc>
        <w:tc>
          <w:tcPr>
            <w:tcW w:w="5549" w:type="dxa"/>
          </w:tcPr>
          <w:p w14:paraId="219429B8" w14:textId="77777777" w:rsidR="00130751" w:rsidRDefault="00130751" w:rsidP="00130751"/>
        </w:tc>
      </w:tr>
      <w:tr w:rsidR="00130751" w14:paraId="4B15C443" w14:textId="4C11306A" w:rsidTr="004C190C">
        <w:tc>
          <w:tcPr>
            <w:tcW w:w="2227" w:type="dxa"/>
            <w:shd w:val="clear" w:color="auto" w:fill="BFBFBF" w:themeFill="background1" w:themeFillShade="BF"/>
          </w:tcPr>
          <w:p w14:paraId="3AFDAA71" w14:textId="5A92B653" w:rsidR="00130751" w:rsidRPr="004C190C" w:rsidRDefault="007A71F3" w:rsidP="00130751">
            <w:pPr>
              <w:rPr>
                <w:b/>
                <w:bCs/>
              </w:rPr>
            </w:pPr>
            <w:r w:rsidRPr="004C190C">
              <w:rPr>
                <w:b/>
                <w:bCs/>
              </w:rPr>
              <w:lastRenderedPageBreak/>
              <w:t>Attention and Listening Strategy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30807503" w14:textId="49F3EB52" w:rsidR="00130751" w:rsidRPr="004C190C" w:rsidRDefault="007A71F3" w:rsidP="00130751">
            <w:pPr>
              <w:rPr>
                <w:b/>
                <w:bCs/>
              </w:rPr>
            </w:pPr>
            <w:r w:rsidRPr="004C190C">
              <w:rPr>
                <w:b/>
                <w:bCs/>
              </w:rPr>
              <w:t>In Use</w:t>
            </w:r>
          </w:p>
        </w:tc>
        <w:tc>
          <w:tcPr>
            <w:tcW w:w="1123" w:type="dxa"/>
            <w:shd w:val="clear" w:color="auto" w:fill="BFBFBF" w:themeFill="background1" w:themeFillShade="BF"/>
          </w:tcPr>
          <w:p w14:paraId="4BD909F8" w14:textId="6AA9AB1A" w:rsidR="00130751" w:rsidRPr="004C190C" w:rsidRDefault="007A71F3" w:rsidP="00130751">
            <w:pPr>
              <w:rPr>
                <w:b/>
                <w:bCs/>
              </w:rPr>
            </w:pPr>
            <w:r w:rsidRPr="004C190C">
              <w:rPr>
                <w:b/>
                <w:bCs/>
              </w:rPr>
              <w:t>To develop</w:t>
            </w:r>
          </w:p>
        </w:tc>
        <w:tc>
          <w:tcPr>
            <w:tcW w:w="5549" w:type="dxa"/>
            <w:shd w:val="clear" w:color="auto" w:fill="BFBFBF" w:themeFill="background1" w:themeFillShade="BF"/>
          </w:tcPr>
          <w:p w14:paraId="4A7B31AB" w14:textId="75AB8838" w:rsidR="00130751" w:rsidRPr="004C190C" w:rsidRDefault="007A71F3" w:rsidP="00130751">
            <w:pPr>
              <w:rPr>
                <w:b/>
                <w:bCs/>
              </w:rPr>
            </w:pPr>
            <w:r w:rsidRPr="004C190C">
              <w:rPr>
                <w:b/>
                <w:bCs/>
              </w:rPr>
              <w:t>Comments</w:t>
            </w:r>
          </w:p>
        </w:tc>
      </w:tr>
      <w:tr w:rsidR="007A71F3" w14:paraId="3E84FE48" w14:textId="77777777" w:rsidTr="004C190C">
        <w:tc>
          <w:tcPr>
            <w:tcW w:w="2227" w:type="dxa"/>
            <w:shd w:val="clear" w:color="auto" w:fill="BFBFBF" w:themeFill="background1" w:themeFillShade="BF"/>
          </w:tcPr>
          <w:p w14:paraId="0130B761" w14:textId="5949C315" w:rsidR="007A71F3" w:rsidRDefault="007A71F3" w:rsidP="00130751">
            <w:r>
              <w:t>Active listening skills are pre-taught before each lesson input.</w:t>
            </w:r>
          </w:p>
        </w:tc>
        <w:tc>
          <w:tcPr>
            <w:tcW w:w="990" w:type="dxa"/>
          </w:tcPr>
          <w:p w14:paraId="44F7C666" w14:textId="77777777" w:rsidR="007A71F3" w:rsidRDefault="007A71F3" w:rsidP="00130751"/>
        </w:tc>
        <w:tc>
          <w:tcPr>
            <w:tcW w:w="1123" w:type="dxa"/>
          </w:tcPr>
          <w:p w14:paraId="70831FCE" w14:textId="77777777" w:rsidR="007A71F3" w:rsidRDefault="007A71F3" w:rsidP="00130751"/>
        </w:tc>
        <w:tc>
          <w:tcPr>
            <w:tcW w:w="5549" w:type="dxa"/>
          </w:tcPr>
          <w:p w14:paraId="71680497" w14:textId="77777777" w:rsidR="007A71F3" w:rsidRDefault="007A71F3" w:rsidP="00130751"/>
        </w:tc>
      </w:tr>
      <w:tr w:rsidR="007A71F3" w14:paraId="4A2BAA38" w14:textId="77777777" w:rsidTr="004C190C">
        <w:tc>
          <w:tcPr>
            <w:tcW w:w="2227" w:type="dxa"/>
            <w:shd w:val="clear" w:color="auto" w:fill="BFBFBF" w:themeFill="background1" w:themeFillShade="BF"/>
          </w:tcPr>
          <w:p w14:paraId="266ADBB4" w14:textId="67A3F4A3" w:rsidR="007A71F3" w:rsidRDefault="007A71F3" w:rsidP="00130751">
            <w:r>
              <w:t>A visual schedule is used for the lesson input, with activities crossed off as they are complete.</w:t>
            </w:r>
          </w:p>
        </w:tc>
        <w:tc>
          <w:tcPr>
            <w:tcW w:w="990" w:type="dxa"/>
          </w:tcPr>
          <w:p w14:paraId="6C7B5ABC" w14:textId="77777777" w:rsidR="007A71F3" w:rsidRDefault="007A71F3" w:rsidP="00130751"/>
        </w:tc>
        <w:tc>
          <w:tcPr>
            <w:tcW w:w="1123" w:type="dxa"/>
          </w:tcPr>
          <w:p w14:paraId="5354D00A" w14:textId="77777777" w:rsidR="007A71F3" w:rsidRDefault="007A71F3" w:rsidP="00130751"/>
        </w:tc>
        <w:tc>
          <w:tcPr>
            <w:tcW w:w="5549" w:type="dxa"/>
          </w:tcPr>
          <w:p w14:paraId="77BDDF47" w14:textId="77777777" w:rsidR="007A71F3" w:rsidRDefault="007A71F3" w:rsidP="00130751"/>
        </w:tc>
      </w:tr>
      <w:tr w:rsidR="007A71F3" w14:paraId="3A706B3A" w14:textId="77777777" w:rsidTr="004C190C">
        <w:tc>
          <w:tcPr>
            <w:tcW w:w="2227" w:type="dxa"/>
            <w:shd w:val="clear" w:color="auto" w:fill="BFBFBF" w:themeFill="background1" w:themeFillShade="BF"/>
          </w:tcPr>
          <w:p w14:paraId="0D29BECC" w14:textId="4770ACB8" w:rsidR="007A71F3" w:rsidRDefault="007A71F3" w:rsidP="00130751">
            <w:r>
              <w:t>The lesson input is less than 15 minutes long or is ‘chunked’ and mixed with active activities or movement breaks.</w:t>
            </w:r>
          </w:p>
        </w:tc>
        <w:tc>
          <w:tcPr>
            <w:tcW w:w="990" w:type="dxa"/>
          </w:tcPr>
          <w:p w14:paraId="1589539B" w14:textId="77777777" w:rsidR="007A71F3" w:rsidRDefault="007A71F3" w:rsidP="00130751"/>
        </w:tc>
        <w:tc>
          <w:tcPr>
            <w:tcW w:w="1123" w:type="dxa"/>
          </w:tcPr>
          <w:p w14:paraId="50591D53" w14:textId="77777777" w:rsidR="007A71F3" w:rsidRDefault="007A71F3" w:rsidP="00130751"/>
        </w:tc>
        <w:tc>
          <w:tcPr>
            <w:tcW w:w="5549" w:type="dxa"/>
          </w:tcPr>
          <w:p w14:paraId="05C6E5F4" w14:textId="77777777" w:rsidR="007A71F3" w:rsidRDefault="007A71F3" w:rsidP="00130751"/>
        </w:tc>
      </w:tr>
      <w:tr w:rsidR="007A71F3" w14:paraId="7A4C4F76" w14:textId="77777777" w:rsidTr="004C190C">
        <w:tc>
          <w:tcPr>
            <w:tcW w:w="2227" w:type="dxa"/>
            <w:shd w:val="clear" w:color="auto" w:fill="BFBFBF" w:themeFill="background1" w:themeFillShade="BF"/>
          </w:tcPr>
          <w:p w14:paraId="7123EA20" w14:textId="4E1831BD" w:rsidR="007A71F3" w:rsidRDefault="007A71F3" w:rsidP="00130751">
            <w:r>
              <w:t>Active Listening Skills are explicitly praised.</w:t>
            </w:r>
          </w:p>
        </w:tc>
        <w:tc>
          <w:tcPr>
            <w:tcW w:w="990" w:type="dxa"/>
          </w:tcPr>
          <w:p w14:paraId="09D9C3CA" w14:textId="77777777" w:rsidR="007A71F3" w:rsidRDefault="007A71F3" w:rsidP="00130751"/>
        </w:tc>
        <w:tc>
          <w:tcPr>
            <w:tcW w:w="1123" w:type="dxa"/>
          </w:tcPr>
          <w:p w14:paraId="0238E119" w14:textId="77777777" w:rsidR="007A71F3" w:rsidRDefault="007A71F3" w:rsidP="00130751"/>
        </w:tc>
        <w:tc>
          <w:tcPr>
            <w:tcW w:w="5549" w:type="dxa"/>
          </w:tcPr>
          <w:p w14:paraId="5B201ED9" w14:textId="77777777" w:rsidR="007A71F3" w:rsidRDefault="007A71F3" w:rsidP="00130751"/>
        </w:tc>
      </w:tr>
      <w:tr w:rsidR="007A71F3" w14:paraId="1CA041FA" w14:textId="77777777" w:rsidTr="004C190C">
        <w:tc>
          <w:tcPr>
            <w:tcW w:w="2227" w:type="dxa"/>
            <w:shd w:val="clear" w:color="auto" w:fill="BFBFBF" w:themeFill="background1" w:themeFillShade="BF"/>
          </w:tcPr>
          <w:p w14:paraId="21021141" w14:textId="1F914795" w:rsidR="007A71F3" w:rsidRDefault="007A71F3" w:rsidP="00130751">
            <w:r>
              <w:t>Visuals / modelling are used to support understanding.</w:t>
            </w:r>
          </w:p>
        </w:tc>
        <w:tc>
          <w:tcPr>
            <w:tcW w:w="990" w:type="dxa"/>
          </w:tcPr>
          <w:p w14:paraId="675CA6EE" w14:textId="77777777" w:rsidR="007A71F3" w:rsidRDefault="007A71F3" w:rsidP="00130751"/>
        </w:tc>
        <w:tc>
          <w:tcPr>
            <w:tcW w:w="1123" w:type="dxa"/>
          </w:tcPr>
          <w:p w14:paraId="687CDAC4" w14:textId="77777777" w:rsidR="007A71F3" w:rsidRDefault="007A71F3" w:rsidP="00130751"/>
        </w:tc>
        <w:tc>
          <w:tcPr>
            <w:tcW w:w="5549" w:type="dxa"/>
          </w:tcPr>
          <w:p w14:paraId="18E17709" w14:textId="77777777" w:rsidR="007A71F3" w:rsidRDefault="007A71F3" w:rsidP="00130751"/>
        </w:tc>
      </w:tr>
      <w:tr w:rsidR="007A71F3" w14:paraId="26693B9B" w14:textId="77777777" w:rsidTr="004C190C">
        <w:tc>
          <w:tcPr>
            <w:tcW w:w="2227" w:type="dxa"/>
            <w:shd w:val="clear" w:color="auto" w:fill="BFBFBF" w:themeFill="background1" w:themeFillShade="BF"/>
          </w:tcPr>
          <w:p w14:paraId="6906475D" w14:textId="26CF76FC" w:rsidR="007A71F3" w:rsidRDefault="007A71F3" w:rsidP="00130751">
            <w:r>
              <w:t>The mode of questioning learners has been considered.</w:t>
            </w:r>
          </w:p>
        </w:tc>
        <w:tc>
          <w:tcPr>
            <w:tcW w:w="990" w:type="dxa"/>
          </w:tcPr>
          <w:p w14:paraId="30EC9933" w14:textId="77777777" w:rsidR="007A71F3" w:rsidRDefault="007A71F3" w:rsidP="00130751"/>
        </w:tc>
        <w:tc>
          <w:tcPr>
            <w:tcW w:w="1123" w:type="dxa"/>
          </w:tcPr>
          <w:p w14:paraId="7FBDFEE8" w14:textId="77777777" w:rsidR="007A71F3" w:rsidRDefault="007A71F3" w:rsidP="00130751"/>
        </w:tc>
        <w:tc>
          <w:tcPr>
            <w:tcW w:w="5549" w:type="dxa"/>
          </w:tcPr>
          <w:p w14:paraId="36E91221" w14:textId="77777777" w:rsidR="007A71F3" w:rsidRDefault="007A71F3" w:rsidP="00130751"/>
        </w:tc>
      </w:tr>
      <w:tr w:rsidR="007A71F3" w14:paraId="2563F8B1" w14:textId="77777777" w:rsidTr="004C190C">
        <w:tc>
          <w:tcPr>
            <w:tcW w:w="2227" w:type="dxa"/>
            <w:shd w:val="clear" w:color="auto" w:fill="BFBFBF" w:themeFill="background1" w:themeFillShade="BF"/>
          </w:tcPr>
          <w:p w14:paraId="7630A103" w14:textId="6EDBDB3A" w:rsidR="007A71F3" w:rsidRDefault="007A71F3" w:rsidP="00130751">
            <w:r>
              <w:t>Children are given at least 8 seconds processing time (Wait for 8) before being selected / expected to respond to questions.</w:t>
            </w:r>
          </w:p>
        </w:tc>
        <w:tc>
          <w:tcPr>
            <w:tcW w:w="990" w:type="dxa"/>
          </w:tcPr>
          <w:p w14:paraId="429DF3E4" w14:textId="77777777" w:rsidR="007A71F3" w:rsidRDefault="007A71F3" w:rsidP="00130751"/>
        </w:tc>
        <w:tc>
          <w:tcPr>
            <w:tcW w:w="1123" w:type="dxa"/>
          </w:tcPr>
          <w:p w14:paraId="40A238C9" w14:textId="77777777" w:rsidR="007A71F3" w:rsidRDefault="007A71F3" w:rsidP="00130751"/>
        </w:tc>
        <w:tc>
          <w:tcPr>
            <w:tcW w:w="5549" w:type="dxa"/>
          </w:tcPr>
          <w:p w14:paraId="2A695162" w14:textId="77777777" w:rsidR="007A71F3" w:rsidRDefault="007A71F3" w:rsidP="00130751"/>
        </w:tc>
      </w:tr>
      <w:tr w:rsidR="007A71F3" w14:paraId="2A0B154C" w14:textId="77777777" w:rsidTr="004C190C">
        <w:tc>
          <w:tcPr>
            <w:tcW w:w="2227" w:type="dxa"/>
            <w:shd w:val="clear" w:color="auto" w:fill="BFBFBF" w:themeFill="background1" w:themeFillShade="BF"/>
          </w:tcPr>
          <w:p w14:paraId="11B1AEA1" w14:textId="5C60FCAC" w:rsidR="007A71F3" w:rsidRDefault="007A71F3" w:rsidP="00130751">
            <w:r>
              <w:t xml:space="preserve">Educators use minimal language, sticking to the most important information. </w:t>
            </w:r>
          </w:p>
        </w:tc>
        <w:tc>
          <w:tcPr>
            <w:tcW w:w="990" w:type="dxa"/>
          </w:tcPr>
          <w:p w14:paraId="68852190" w14:textId="77777777" w:rsidR="007A71F3" w:rsidRDefault="007A71F3" w:rsidP="00130751"/>
        </w:tc>
        <w:tc>
          <w:tcPr>
            <w:tcW w:w="1123" w:type="dxa"/>
          </w:tcPr>
          <w:p w14:paraId="566591AA" w14:textId="77777777" w:rsidR="007A71F3" w:rsidRDefault="007A71F3" w:rsidP="00130751"/>
        </w:tc>
        <w:tc>
          <w:tcPr>
            <w:tcW w:w="5549" w:type="dxa"/>
          </w:tcPr>
          <w:p w14:paraId="1192065F" w14:textId="77777777" w:rsidR="007A71F3" w:rsidRDefault="007A71F3" w:rsidP="00130751"/>
        </w:tc>
      </w:tr>
      <w:tr w:rsidR="007A71F3" w14:paraId="5EFB4423" w14:textId="77777777" w:rsidTr="004C190C">
        <w:tc>
          <w:tcPr>
            <w:tcW w:w="2227" w:type="dxa"/>
            <w:shd w:val="clear" w:color="auto" w:fill="BFBFBF" w:themeFill="background1" w:themeFillShade="BF"/>
          </w:tcPr>
          <w:p w14:paraId="3C6618CC" w14:textId="3AA1E36B" w:rsidR="007A71F3" w:rsidRDefault="007A71F3" w:rsidP="00130751">
            <w:r>
              <w:t>Educators cue when an instruction is about to be given.</w:t>
            </w:r>
          </w:p>
        </w:tc>
        <w:tc>
          <w:tcPr>
            <w:tcW w:w="990" w:type="dxa"/>
          </w:tcPr>
          <w:p w14:paraId="33D22E97" w14:textId="77777777" w:rsidR="007A71F3" w:rsidRDefault="007A71F3" w:rsidP="00130751"/>
        </w:tc>
        <w:tc>
          <w:tcPr>
            <w:tcW w:w="1123" w:type="dxa"/>
          </w:tcPr>
          <w:p w14:paraId="21522096" w14:textId="77777777" w:rsidR="007A71F3" w:rsidRDefault="007A71F3" w:rsidP="00130751"/>
        </w:tc>
        <w:tc>
          <w:tcPr>
            <w:tcW w:w="5549" w:type="dxa"/>
          </w:tcPr>
          <w:p w14:paraId="66B8EA24" w14:textId="77777777" w:rsidR="007A71F3" w:rsidRDefault="007A71F3" w:rsidP="00130751"/>
        </w:tc>
      </w:tr>
    </w:tbl>
    <w:p w14:paraId="0EB309A0" w14:textId="4DD65CC1" w:rsidR="007A71F3" w:rsidRDefault="007A71F3" w:rsidP="00130751"/>
    <w:p w14:paraId="33B1407D" w14:textId="3203D639" w:rsidR="004C190C" w:rsidRDefault="004C190C" w:rsidP="00130751"/>
    <w:p w14:paraId="583E283D" w14:textId="4D6B530B" w:rsidR="004C190C" w:rsidRDefault="004C190C" w:rsidP="00130751">
      <w:pPr>
        <w:rPr>
          <w:b/>
          <w:bCs/>
          <w:sz w:val="28"/>
          <w:szCs w:val="28"/>
        </w:rPr>
      </w:pPr>
      <w:r w:rsidRPr="004C190C">
        <w:rPr>
          <w:b/>
          <w:bCs/>
          <w:sz w:val="28"/>
          <w:szCs w:val="28"/>
        </w:rPr>
        <w:lastRenderedPageBreak/>
        <w:t xml:space="preserve">Targeted </w:t>
      </w:r>
      <w:r>
        <w:rPr>
          <w:b/>
          <w:bCs/>
          <w:sz w:val="28"/>
          <w:szCs w:val="28"/>
        </w:rPr>
        <w:t xml:space="preserve">/ Specialist </w:t>
      </w:r>
      <w:r w:rsidRPr="004C190C">
        <w:rPr>
          <w:b/>
          <w:bCs/>
          <w:sz w:val="28"/>
          <w:szCs w:val="28"/>
        </w:rPr>
        <w:t>Strategies:</w:t>
      </w:r>
    </w:p>
    <w:p w14:paraId="295DA08B" w14:textId="07E4BC48" w:rsidR="004C190C" w:rsidRDefault="004C190C" w:rsidP="00130751">
      <w:pPr>
        <w:rPr>
          <w:b/>
          <w:bCs/>
          <w:sz w:val="28"/>
          <w:szCs w:val="28"/>
        </w:rPr>
      </w:pPr>
    </w:p>
    <w:p w14:paraId="6D17CA14" w14:textId="4FA3C3A6" w:rsidR="004C190C" w:rsidRPr="004C190C" w:rsidRDefault="004C190C" w:rsidP="00130751">
      <w:pPr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These strategies will typically have been discussed with the SENDCO or outlined as part of a child’s individual provision.</w:t>
      </w:r>
    </w:p>
    <w:p w14:paraId="6DDF98AA" w14:textId="77777777" w:rsidR="004C190C" w:rsidRPr="004C190C" w:rsidRDefault="004C190C" w:rsidP="00130751">
      <w:pPr>
        <w:rPr>
          <w:b/>
          <w:bCs/>
          <w:sz w:val="28"/>
          <w:szCs w:val="28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223"/>
        <w:gridCol w:w="991"/>
        <w:gridCol w:w="1123"/>
        <w:gridCol w:w="5552"/>
      </w:tblGrid>
      <w:tr w:rsidR="007A71F3" w14:paraId="2A7D4816" w14:textId="77777777" w:rsidTr="004C190C">
        <w:tc>
          <w:tcPr>
            <w:tcW w:w="2223" w:type="dxa"/>
            <w:shd w:val="clear" w:color="auto" w:fill="BFBFBF" w:themeFill="background1" w:themeFillShade="BF"/>
          </w:tcPr>
          <w:p w14:paraId="5A900EA8" w14:textId="77777777" w:rsidR="007A71F3" w:rsidRPr="004C190C" w:rsidRDefault="007A71F3" w:rsidP="00F85F6E">
            <w:pPr>
              <w:rPr>
                <w:b/>
                <w:bCs/>
              </w:rPr>
            </w:pPr>
            <w:r w:rsidRPr="004C190C">
              <w:rPr>
                <w:b/>
                <w:bCs/>
              </w:rPr>
              <w:t>Attention and Listening Strategy</w:t>
            </w:r>
          </w:p>
        </w:tc>
        <w:tc>
          <w:tcPr>
            <w:tcW w:w="991" w:type="dxa"/>
            <w:shd w:val="clear" w:color="auto" w:fill="BFBFBF" w:themeFill="background1" w:themeFillShade="BF"/>
          </w:tcPr>
          <w:p w14:paraId="638F360B" w14:textId="77777777" w:rsidR="007A71F3" w:rsidRPr="004C190C" w:rsidRDefault="007A71F3" w:rsidP="00F85F6E">
            <w:pPr>
              <w:rPr>
                <w:b/>
                <w:bCs/>
              </w:rPr>
            </w:pPr>
            <w:r w:rsidRPr="004C190C">
              <w:rPr>
                <w:b/>
                <w:bCs/>
              </w:rPr>
              <w:t>In Use</w:t>
            </w:r>
          </w:p>
        </w:tc>
        <w:tc>
          <w:tcPr>
            <w:tcW w:w="1123" w:type="dxa"/>
            <w:shd w:val="clear" w:color="auto" w:fill="BFBFBF" w:themeFill="background1" w:themeFillShade="BF"/>
          </w:tcPr>
          <w:p w14:paraId="08193D3C" w14:textId="77777777" w:rsidR="007A71F3" w:rsidRPr="004C190C" w:rsidRDefault="007A71F3" w:rsidP="00F85F6E">
            <w:pPr>
              <w:rPr>
                <w:b/>
                <w:bCs/>
              </w:rPr>
            </w:pPr>
            <w:r w:rsidRPr="004C190C">
              <w:rPr>
                <w:b/>
                <w:bCs/>
              </w:rPr>
              <w:t>To develop</w:t>
            </w:r>
          </w:p>
        </w:tc>
        <w:tc>
          <w:tcPr>
            <w:tcW w:w="5552" w:type="dxa"/>
            <w:shd w:val="clear" w:color="auto" w:fill="BFBFBF" w:themeFill="background1" w:themeFillShade="BF"/>
          </w:tcPr>
          <w:p w14:paraId="4B4ED63A" w14:textId="77777777" w:rsidR="007A71F3" w:rsidRPr="004C190C" w:rsidRDefault="007A71F3" w:rsidP="00F85F6E">
            <w:pPr>
              <w:rPr>
                <w:b/>
                <w:bCs/>
              </w:rPr>
            </w:pPr>
            <w:r w:rsidRPr="004C190C">
              <w:rPr>
                <w:b/>
                <w:bCs/>
              </w:rPr>
              <w:t>Comments</w:t>
            </w:r>
          </w:p>
        </w:tc>
      </w:tr>
      <w:tr w:rsidR="007A71F3" w14:paraId="4FDCB0BD" w14:textId="77777777" w:rsidTr="004849B1">
        <w:tc>
          <w:tcPr>
            <w:tcW w:w="2223" w:type="dxa"/>
            <w:shd w:val="clear" w:color="auto" w:fill="A6A6A6" w:themeFill="background1" w:themeFillShade="A6"/>
          </w:tcPr>
          <w:p w14:paraId="234345BE" w14:textId="53CEA920" w:rsidR="007A71F3" w:rsidRDefault="007A71F3" w:rsidP="00F85F6E">
            <w:r>
              <w:t>Children have any specialist equipment they may need to support them to listen and maintain attention.</w:t>
            </w:r>
          </w:p>
        </w:tc>
        <w:tc>
          <w:tcPr>
            <w:tcW w:w="991" w:type="dxa"/>
          </w:tcPr>
          <w:p w14:paraId="66D74404" w14:textId="77777777" w:rsidR="007A71F3" w:rsidRDefault="007A71F3" w:rsidP="00F85F6E"/>
        </w:tc>
        <w:tc>
          <w:tcPr>
            <w:tcW w:w="1123" w:type="dxa"/>
          </w:tcPr>
          <w:p w14:paraId="6B593DEB" w14:textId="77777777" w:rsidR="007A71F3" w:rsidRDefault="007A71F3" w:rsidP="00F85F6E"/>
        </w:tc>
        <w:tc>
          <w:tcPr>
            <w:tcW w:w="5552" w:type="dxa"/>
          </w:tcPr>
          <w:p w14:paraId="59A952DC" w14:textId="77777777" w:rsidR="007A71F3" w:rsidRDefault="007A71F3" w:rsidP="00F85F6E"/>
        </w:tc>
      </w:tr>
      <w:tr w:rsidR="007A71F3" w14:paraId="605E8A55" w14:textId="77777777" w:rsidTr="004849B1">
        <w:tc>
          <w:tcPr>
            <w:tcW w:w="2223" w:type="dxa"/>
            <w:shd w:val="clear" w:color="auto" w:fill="A6A6A6" w:themeFill="background1" w:themeFillShade="A6"/>
          </w:tcPr>
          <w:p w14:paraId="6075354C" w14:textId="3CD6E254" w:rsidR="007A71F3" w:rsidRDefault="007A71F3" w:rsidP="00F85F6E">
            <w:r>
              <w:t xml:space="preserve">Reasonable adjustments have been made to </w:t>
            </w:r>
            <w:r w:rsidR="004C190C">
              <w:t>expectations around what ‘Active Listening’ looks like for individuals</w:t>
            </w:r>
            <w:r>
              <w:t xml:space="preserve"> </w:t>
            </w:r>
            <w:proofErr w:type="gramStart"/>
            <w:r>
              <w:t>e.g.</w:t>
            </w:r>
            <w:proofErr w:type="gramEnd"/>
            <w:r>
              <w:t xml:space="preserve"> </w:t>
            </w:r>
            <w:r w:rsidR="004C190C">
              <w:t>M</w:t>
            </w:r>
            <w:r>
              <w:t>oving around whilst listening.</w:t>
            </w:r>
          </w:p>
        </w:tc>
        <w:tc>
          <w:tcPr>
            <w:tcW w:w="991" w:type="dxa"/>
          </w:tcPr>
          <w:p w14:paraId="0B8AA15E" w14:textId="77777777" w:rsidR="007A71F3" w:rsidRDefault="007A71F3" w:rsidP="00F85F6E"/>
        </w:tc>
        <w:tc>
          <w:tcPr>
            <w:tcW w:w="1123" w:type="dxa"/>
          </w:tcPr>
          <w:p w14:paraId="605D572F" w14:textId="77777777" w:rsidR="007A71F3" w:rsidRDefault="007A71F3" w:rsidP="00F85F6E"/>
        </w:tc>
        <w:tc>
          <w:tcPr>
            <w:tcW w:w="5552" w:type="dxa"/>
          </w:tcPr>
          <w:p w14:paraId="77E67D36" w14:textId="77777777" w:rsidR="007A71F3" w:rsidRDefault="007A71F3" w:rsidP="00F85F6E"/>
        </w:tc>
      </w:tr>
      <w:tr w:rsidR="007A71F3" w14:paraId="542C4F46" w14:textId="77777777" w:rsidTr="004849B1">
        <w:tc>
          <w:tcPr>
            <w:tcW w:w="2223" w:type="dxa"/>
            <w:shd w:val="clear" w:color="auto" w:fill="A6A6A6" w:themeFill="background1" w:themeFillShade="A6"/>
          </w:tcPr>
          <w:p w14:paraId="25EDD9B0" w14:textId="16756722" w:rsidR="007A71F3" w:rsidRDefault="007A71F3" w:rsidP="00F85F6E">
            <w:r>
              <w:t>Resources and equipment that support individuals to maintain attention (such as fidget items, different seating</w:t>
            </w:r>
            <w:r w:rsidR="004C190C">
              <w:t xml:space="preserve"> equipment</w:t>
            </w:r>
            <w:r>
              <w:t>) are available.</w:t>
            </w:r>
          </w:p>
        </w:tc>
        <w:tc>
          <w:tcPr>
            <w:tcW w:w="991" w:type="dxa"/>
          </w:tcPr>
          <w:p w14:paraId="30C5039D" w14:textId="77777777" w:rsidR="007A71F3" w:rsidRDefault="007A71F3" w:rsidP="00F85F6E"/>
        </w:tc>
        <w:tc>
          <w:tcPr>
            <w:tcW w:w="1123" w:type="dxa"/>
          </w:tcPr>
          <w:p w14:paraId="11286D3D" w14:textId="77777777" w:rsidR="007A71F3" w:rsidRDefault="007A71F3" w:rsidP="00F85F6E"/>
        </w:tc>
        <w:tc>
          <w:tcPr>
            <w:tcW w:w="5552" w:type="dxa"/>
          </w:tcPr>
          <w:p w14:paraId="56F37069" w14:textId="77777777" w:rsidR="007A71F3" w:rsidRDefault="007A71F3" w:rsidP="00F85F6E"/>
        </w:tc>
      </w:tr>
      <w:tr w:rsidR="007A71F3" w14:paraId="0C699821" w14:textId="77777777" w:rsidTr="004849B1">
        <w:tc>
          <w:tcPr>
            <w:tcW w:w="2223" w:type="dxa"/>
            <w:shd w:val="clear" w:color="auto" w:fill="A6A6A6" w:themeFill="background1" w:themeFillShade="A6"/>
          </w:tcPr>
          <w:p w14:paraId="06EDFA65" w14:textId="412B8494" w:rsidR="007A71F3" w:rsidRDefault="007A71F3" w:rsidP="00F85F6E">
            <w:r>
              <w:t xml:space="preserve">Seating positions have been considered, </w:t>
            </w:r>
            <w:proofErr w:type="gramStart"/>
            <w:r>
              <w:t>e.g.</w:t>
            </w:r>
            <w:proofErr w:type="gramEnd"/>
            <w:r>
              <w:t xml:space="preserve"> </w:t>
            </w:r>
            <w:r w:rsidR="004C190C">
              <w:t>P</w:t>
            </w:r>
            <w:r>
              <w:t>roximity to the whiteboard.</w:t>
            </w:r>
          </w:p>
        </w:tc>
        <w:tc>
          <w:tcPr>
            <w:tcW w:w="991" w:type="dxa"/>
          </w:tcPr>
          <w:p w14:paraId="72ABA6AA" w14:textId="77777777" w:rsidR="007A71F3" w:rsidRDefault="007A71F3" w:rsidP="00F85F6E"/>
        </w:tc>
        <w:tc>
          <w:tcPr>
            <w:tcW w:w="1123" w:type="dxa"/>
          </w:tcPr>
          <w:p w14:paraId="3E25CDE1" w14:textId="77777777" w:rsidR="007A71F3" w:rsidRDefault="007A71F3" w:rsidP="00F85F6E"/>
        </w:tc>
        <w:tc>
          <w:tcPr>
            <w:tcW w:w="5552" w:type="dxa"/>
          </w:tcPr>
          <w:p w14:paraId="4B580FF9" w14:textId="77777777" w:rsidR="007A71F3" w:rsidRDefault="007A71F3" w:rsidP="00F85F6E"/>
        </w:tc>
      </w:tr>
      <w:tr w:rsidR="007A71F3" w14:paraId="12176134" w14:textId="77777777" w:rsidTr="004849B1">
        <w:tc>
          <w:tcPr>
            <w:tcW w:w="2223" w:type="dxa"/>
            <w:shd w:val="clear" w:color="auto" w:fill="A6A6A6" w:themeFill="background1" w:themeFillShade="A6"/>
          </w:tcPr>
          <w:p w14:paraId="7E5219EC" w14:textId="71AE792B" w:rsidR="007A71F3" w:rsidRDefault="004C190C" w:rsidP="00F85F6E">
            <w:r>
              <w:t>Activities to prepare children to be more ‘Ready to learn’ (such as Sensory Circuits) are in place where appropriate.</w:t>
            </w:r>
          </w:p>
        </w:tc>
        <w:tc>
          <w:tcPr>
            <w:tcW w:w="991" w:type="dxa"/>
          </w:tcPr>
          <w:p w14:paraId="2EB97B68" w14:textId="77777777" w:rsidR="007A71F3" w:rsidRDefault="007A71F3" w:rsidP="00F85F6E"/>
        </w:tc>
        <w:tc>
          <w:tcPr>
            <w:tcW w:w="1123" w:type="dxa"/>
          </w:tcPr>
          <w:p w14:paraId="1CC0043F" w14:textId="77777777" w:rsidR="007A71F3" w:rsidRDefault="007A71F3" w:rsidP="00F85F6E"/>
        </w:tc>
        <w:tc>
          <w:tcPr>
            <w:tcW w:w="5552" w:type="dxa"/>
          </w:tcPr>
          <w:p w14:paraId="0D6FB8F6" w14:textId="77777777" w:rsidR="007A71F3" w:rsidRDefault="007A71F3" w:rsidP="00F85F6E"/>
        </w:tc>
      </w:tr>
    </w:tbl>
    <w:p w14:paraId="5BC2C86E" w14:textId="77777777" w:rsidR="007A71F3" w:rsidRDefault="007A71F3" w:rsidP="00130751"/>
    <w:sectPr w:rsidR="007A71F3" w:rsidSect="00130751"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9F110" w14:textId="77777777" w:rsidR="00C76B7B" w:rsidRDefault="00C76B7B" w:rsidP="007A71F3">
      <w:r>
        <w:separator/>
      </w:r>
    </w:p>
  </w:endnote>
  <w:endnote w:type="continuationSeparator" w:id="0">
    <w:p w14:paraId="031F2A33" w14:textId="77777777" w:rsidR="00C76B7B" w:rsidRDefault="00C76B7B" w:rsidP="007A7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12BD6" w14:textId="77777777" w:rsidR="00C76B7B" w:rsidRDefault="00C76B7B" w:rsidP="007A71F3">
      <w:r>
        <w:separator/>
      </w:r>
    </w:p>
  </w:footnote>
  <w:footnote w:type="continuationSeparator" w:id="0">
    <w:p w14:paraId="57FAEFA2" w14:textId="77777777" w:rsidR="00C76B7B" w:rsidRDefault="00C76B7B" w:rsidP="007A7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D40FC"/>
    <w:multiLevelType w:val="hybridMultilevel"/>
    <w:tmpl w:val="8548B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539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751"/>
    <w:rsid w:val="00051D83"/>
    <w:rsid w:val="00130751"/>
    <w:rsid w:val="004849B1"/>
    <w:rsid w:val="004C190C"/>
    <w:rsid w:val="006479F8"/>
    <w:rsid w:val="007A71F3"/>
    <w:rsid w:val="00A25B9F"/>
    <w:rsid w:val="00A94050"/>
    <w:rsid w:val="00C7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FF1ED"/>
  <w15:chartTrackingRefBased/>
  <w15:docId w15:val="{24381E22-9262-4E1B-8F4D-4BE47E14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B9F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5B9F"/>
    <w:pPr>
      <w:keepNext/>
      <w:keepLines/>
      <w:outlineLvl w:val="0"/>
    </w:pPr>
    <w:rPr>
      <w:rFonts w:asciiTheme="majorHAnsi" w:eastAsiaTheme="majorEastAsia" w:hAnsiTheme="majorHAnsi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B9F"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25B9F"/>
    <w:pPr>
      <w:keepNext/>
      <w:keepLines/>
      <w:outlineLvl w:val="2"/>
    </w:pPr>
    <w:rPr>
      <w:rFonts w:asciiTheme="majorHAnsi" w:eastAsiaTheme="majorEastAsia" w:hAnsiTheme="majorHAnsi" w:cstheme="maj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9405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25B9F"/>
    <w:rPr>
      <w:rFonts w:asciiTheme="majorHAnsi" w:eastAsiaTheme="majorEastAsia" w:hAnsiTheme="majorHAnsi" w:cstheme="majorBidi"/>
      <w:b/>
      <w:bCs/>
      <w:cap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5B9F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5B9F"/>
    <w:rPr>
      <w:rFonts w:asciiTheme="majorHAnsi" w:eastAsiaTheme="majorEastAsia" w:hAnsiTheme="majorHAnsi" w:cstheme="majorBidi"/>
      <w:b/>
      <w:bCs/>
      <w:i/>
    </w:rPr>
  </w:style>
  <w:style w:type="paragraph" w:styleId="Title">
    <w:name w:val="Title"/>
    <w:basedOn w:val="Normal"/>
    <w:next w:val="Normal"/>
    <w:link w:val="TitleChar"/>
    <w:uiPriority w:val="10"/>
    <w:qFormat/>
    <w:rsid w:val="00A25B9F"/>
    <w:pPr>
      <w:pBdr>
        <w:bottom w:val="single" w:sz="8" w:space="4" w:color="4F81BD" w:themeColor="accent1"/>
      </w:pBdr>
      <w:contextualSpacing/>
      <w:jc w:val="center"/>
    </w:pPr>
    <w:rPr>
      <w:rFonts w:asciiTheme="majorHAnsi" w:eastAsiaTheme="majorEastAsia" w:hAnsiTheme="majorHAnsi" w:cstheme="majorBidi"/>
      <w:b/>
      <w:caps/>
      <w:color w:val="17365D" w:themeColor="text2" w:themeShade="BF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5B9F"/>
    <w:rPr>
      <w:rFonts w:asciiTheme="majorHAnsi" w:eastAsiaTheme="majorEastAsia" w:hAnsiTheme="majorHAnsi" w:cstheme="majorBidi"/>
      <w:b/>
      <w:caps/>
      <w:color w:val="17365D" w:themeColor="text2" w:themeShade="BF"/>
      <w:spacing w:val="5"/>
      <w:kern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B9F"/>
    <w:pPr>
      <w:numPr>
        <w:ilvl w:val="1"/>
      </w:numPr>
    </w:pPr>
    <w:rPr>
      <w:rFonts w:asciiTheme="majorHAnsi" w:eastAsiaTheme="majorEastAsia" w:hAnsiTheme="majorHAnsi" w:cstheme="majorBidi"/>
      <w:b/>
      <w:i/>
      <w:iCs/>
      <w:color w:val="000000" w:themeColor="tex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5B9F"/>
    <w:rPr>
      <w:rFonts w:asciiTheme="majorHAnsi" w:eastAsiaTheme="majorEastAsia" w:hAnsiTheme="majorHAnsi" w:cstheme="majorBidi"/>
      <w:b/>
      <w:i/>
      <w:iCs/>
      <w:color w:val="000000" w:themeColor="text1"/>
      <w:spacing w:val="15"/>
      <w:szCs w:val="24"/>
    </w:rPr>
  </w:style>
  <w:style w:type="paragraph" w:styleId="ListParagraph">
    <w:name w:val="List Paragraph"/>
    <w:basedOn w:val="Normal"/>
    <w:uiPriority w:val="34"/>
    <w:rsid w:val="00130751"/>
    <w:pPr>
      <w:ind w:left="720"/>
      <w:contextualSpacing/>
    </w:pPr>
  </w:style>
  <w:style w:type="table" w:styleId="TableGrid">
    <w:name w:val="Table Grid"/>
    <w:basedOn w:val="TableNormal"/>
    <w:uiPriority w:val="59"/>
    <w:rsid w:val="00130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71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1F3"/>
  </w:style>
  <w:style w:type="paragraph" w:styleId="Footer">
    <w:name w:val="footer"/>
    <w:basedOn w:val="Normal"/>
    <w:link w:val="FooterChar"/>
    <w:uiPriority w:val="99"/>
    <w:unhideWhenUsed/>
    <w:rsid w:val="007A71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LBHF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8196713D9564DA161B26EDDECA189" ma:contentTypeVersion="17" ma:contentTypeDescription="Create a new document." ma:contentTypeScope="" ma:versionID="d40a01312f8572f9d69b493f76d92118">
  <xsd:schema xmlns:xsd="http://www.w3.org/2001/XMLSchema" xmlns:xs="http://www.w3.org/2001/XMLSchema" xmlns:p="http://schemas.microsoft.com/office/2006/metadata/properties" xmlns:ns2="64c3051c-113c-42fb-a40c-590ad0add318" xmlns:ns3="c5d6e10e-571c-4ea0-b995-d9ebc4484aed" xmlns:ns4="d202d31c-686c-4115-a7b9-5cc891ed602b" targetNamespace="http://schemas.microsoft.com/office/2006/metadata/properties" ma:root="true" ma:fieldsID="1f86fb3373a1eaa76e9f0581d4ddcefe" ns2:_="" ns3:_="" ns4:_="">
    <xsd:import namespace="64c3051c-113c-42fb-a40c-590ad0add318"/>
    <xsd:import namespace="c5d6e10e-571c-4ea0-b995-d9ebc4484aed"/>
    <xsd:import namespace="d202d31c-686c-4115-a7b9-5cc891ed6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3051c-113c-42fb-a40c-590ad0add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b61a9-1cb6-416b-8dcb-4ddbf3c41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e10e-571c-4ea0-b995-d9ebc4484ae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d31c-686c-4115-a7b9-5cc891ed602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30e7580-0250-4daa-91ee-930f634d2176}" ma:internalName="TaxCatchAll" ma:showField="CatchAllData" ma:web="dbc6542c-fcf7-4d62-99f1-05647c017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c3051c-113c-42fb-a40c-590ad0add318">
      <Terms xmlns="http://schemas.microsoft.com/office/infopath/2007/PartnerControls"/>
    </lcf76f155ced4ddcb4097134ff3c332f>
    <TaxCatchAll xmlns="d202d31c-686c-4115-a7b9-5cc891ed602b" xsi:nil="true"/>
  </documentManagement>
</p:properties>
</file>

<file path=customXml/itemProps1.xml><?xml version="1.0" encoding="utf-8"?>
<ds:datastoreItem xmlns:ds="http://schemas.openxmlformats.org/officeDocument/2006/customXml" ds:itemID="{5410797C-3683-4780-99BF-51D7F4DF0553}"/>
</file>

<file path=customXml/itemProps2.xml><?xml version="1.0" encoding="utf-8"?>
<ds:datastoreItem xmlns:ds="http://schemas.openxmlformats.org/officeDocument/2006/customXml" ds:itemID="{FA3DF895-6894-4451-99D3-2DBADC27D28C}"/>
</file>

<file path=customXml/itemProps3.xml><?xml version="1.0" encoding="utf-8"?>
<ds:datastoreItem xmlns:ds="http://schemas.openxmlformats.org/officeDocument/2006/customXml" ds:itemID="{6E75A5C0-9F07-4325-A94C-0D191606F9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LBHF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 Joscelyn: H&amp;F</dc:creator>
  <cp:keywords/>
  <dc:description/>
  <cp:lastModifiedBy>Harvey Joscelyn: H&amp;F</cp:lastModifiedBy>
  <cp:revision>2</cp:revision>
  <dcterms:created xsi:type="dcterms:W3CDTF">2023-03-16T09:19:00Z</dcterms:created>
  <dcterms:modified xsi:type="dcterms:W3CDTF">2023-06-07T10:52:00Z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0x01010067B8196713D9564DA161B26EDDECA189</vt:lpwstr>
  </property>
</Properties>
</file>